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105C" w14:textId="77777777" w:rsidR="009E5A0E" w:rsidRDefault="00C5795B" w:rsidP="009D317A">
      <w:pPr>
        <w:jc w:val="center"/>
        <w:rPr>
          <w:b/>
        </w:rPr>
      </w:pPr>
      <w:r w:rsidRPr="00C5795B">
        <w:rPr>
          <w:b/>
        </w:rPr>
        <w:t>ИЗВЕЩЕНИЕ О ПУСТУЮЩИХ ДОМАХ И СВЕДЕНИЯ О ПОИСКЕ ПРАВООБЛАДАТЕЛЕЙ</w:t>
      </w:r>
    </w:p>
    <w:p w14:paraId="62607775" w14:textId="77777777" w:rsidR="00C5795B" w:rsidRDefault="00C5795B">
      <w:pPr>
        <w:rPr>
          <w:b/>
        </w:rPr>
      </w:pPr>
    </w:p>
    <w:p w14:paraId="29D39BC5" w14:textId="77777777" w:rsidR="00C5795B" w:rsidRDefault="00C5795B" w:rsidP="009D317A">
      <w:pPr>
        <w:ind w:firstLine="709"/>
        <w:jc w:val="both"/>
      </w:pPr>
      <w:r>
        <w:t xml:space="preserve">В ходе проведения визуального осмотра жилого дома, расположенного на территории </w:t>
      </w:r>
      <w:proofErr w:type="spellStart"/>
      <w:r>
        <w:t>Негневичского</w:t>
      </w:r>
      <w:proofErr w:type="spellEnd"/>
      <w:r>
        <w:t xml:space="preserve"> сельсовета, комиссией по обследованию состояния жилых домов был установлен дом, попадающий под критерии пустующего (на придомовой </w:t>
      </w:r>
      <w:proofErr w:type="spellStart"/>
      <w:r>
        <w:t>терртории</w:t>
      </w:r>
      <w:proofErr w:type="spellEnd"/>
      <w:r>
        <w:t xml:space="preserve">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жилого дома для проживания лицами, имеющими право владения и пользования.</w:t>
      </w:r>
    </w:p>
    <w:p w14:paraId="360BAD5B" w14:textId="77777777" w:rsidR="00C5795B" w:rsidRDefault="0090195E" w:rsidP="009D317A">
      <w:pPr>
        <w:ind w:firstLine="709"/>
        <w:jc w:val="both"/>
      </w:pPr>
      <w:r>
        <w:t>1.</w:t>
      </w:r>
      <w:r w:rsidR="00C5795B">
        <w:t>Негневичский сельский исполнительный комитет Новогрудского района разыскивает собственников</w:t>
      </w:r>
      <w:r w:rsidR="00E57D9A">
        <w:t xml:space="preserve"> и </w:t>
      </w:r>
      <w:r w:rsidR="00CE1800">
        <w:t>наследников</w:t>
      </w:r>
      <w:r w:rsidR="00E57D9A">
        <w:t xml:space="preserve"> </w:t>
      </w:r>
      <w:r w:rsidR="00CE1800">
        <w:t>пустующего</w:t>
      </w:r>
      <w:r w:rsidR="00E57D9A">
        <w:t xml:space="preserve"> жилого дома: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87"/>
        <w:gridCol w:w="2025"/>
        <w:gridCol w:w="1560"/>
        <w:gridCol w:w="3827"/>
        <w:gridCol w:w="2487"/>
      </w:tblGrid>
      <w:tr w:rsidR="00CE1800" w:rsidRPr="00B2717A" w14:paraId="34E31E2F" w14:textId="77777777" w:rsidTr="00B2717A">
        <w:tc>
          <w:tcPr>
            <w:tcW w:w="4887" w:type="dxa"/>
            <w:vAlign w:val="center"/>
          </w:tcPr>
          <w:p w14:paraId="79065F43" w14:textId="77777777" w:rsidR="00E57D9A" w:rsidRPr="00B2717A" w:rsidRDefault="00566B0A" w:rsidP="00B2717A">
            <w:pPr>
              <w:jc w:val="center"/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Местонахождение жилого дома</w:t>
            </w:r>
          </w:p>
        </w:tc>
        <w:tc>
          <w:tcPr>
            <w:tcW w:w="2025" w:type="dxa"/>
            <w:vAlign w:val="center"/>
          </w:tcPr>
          <w:p w14:paraId="04817A11" w14:textId="77777777" w:rsidR="00E57D9A" w:rsidRPr="00B2717A" w:rsidRDefault="00566B0A" w:rsidP="00B2717A">
            <w:pPr>
              <w:jc w:val="center"/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  <w:tc>
          <w:tcPr>
            <w:tcW w:w="1560" w:type="dxa"/>
            <w:vAlign w:val="center"/>
          </w:tcPr>
          <w:p w14:paraId="763480DD" w14:textId="77777777" w:rsidR="00E57D9A" w:rsidRPr="00B2717A" w:rsidRDefault="00566B0A" w:rsidP="00B2717A">
            <w:pPr>
              <w:jc w:val="center"/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 xml:space="preserve">Срок </w:t>
            </w:r>
            <w:proofErr w:type="spellStart"/>
            <w:r w:rsidRPr="00B2717A">
              <w:rPr>
                <w:sz w:val="24"/>
                <w:szCs w:val="24"/>
              </w:rPr>
              <w:t>непроживания</w:t>
            </w:r>
            <w:proofErr w:type="spellEnd"/>
            <w:r w:rsidRPr="00B2717A">
              <w:rPr>
                <w:sz w:val="24"/>
                <w:szCs w:val="24"/>
              </w:rPr>
              <w:t xml:space="preserve"> в данном жилом доме</w:t>
            </w:r>
          </w:p>
        </w:tc>
        <w:tc>
          <w:tcPr>
            <w:tcW w:w="3827" w:type="dxa"/>
            <w:vAlign w:val="center"/>
          </w:tcPr>
          <w:p w14:paraId="5740A24F" w14:textId="77777777" w:rsidR="00E57D9A" w:rsidRPr="00B2717A" w:rsidRDefault="00566B0A" w:rsidP="00B2717A">
            <w:pPr>
              <w:jc w:val="center"/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Сведения о жилом доме</w:t>
            </w:r>
          </w:p>
        </w:tc>
        <w:tc>
          <w:tcPr>
            <w:tcW w:w="2487" w:type="dxa"/>
            <w:vAlign w:val="center"/>
          </w:tcPr>
          <w:p w14:paraId="659F8CA2" w14:textId="77777777" w:rsidR="00E57D9A" w:rsidRPr="00B2717A" w:rsidRDefault="00566B0A" w:rsidP="00B2717A">
            <w:pPr>
              <w:jc w:val="center"/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Сведения о земельном участке</w:t>
            </w:r>
          </w:p>
        </w:tc>
      </w:tr>
      <w:tr w:rsidR="00B2717A" w:rsidRPr="00B2717A" w14:paraId="04074821" w14:textId="77777777" w:rsidTr="00B2717A">
        <w:trPr>
          <w:trHeight w:val="5083"/>
        </w:trPr>
        <w:tc>
          <w:tcPr>
            <w:tcW w:w="4887" w:type="dxa"/>
          </w:tcPr>
          <w:p w14:paraId="0809CA2B" w14:textId="77777777" w:rsidR="00B2717A" w:rsidRDefault="00B2717A" w:rsidP="00E57D9A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 xml:space="preserve">Гродненская область, Новогрудский район, </w:t>
            </w:r>
            <w:proofErr w:type="spellStart"/>
            <w:r w:rsidRPr="00B2717A">
              <w:rPr>
                <w:sz w:val="24"/>
                <w:szCs w:val="24"/>
              </w:rPr>
              <w:t>Негневичский</w:t>
            </w:r>
            <w:proofErr w:type="spellEnd"/>
            <w:r w:rsidRPr="00B2717A">
              <w:rPr>
                <w:sz w:val="24"/>
                <w:szCs w:val="24"/>
              </w:rPr>
              <w:t xml:space="preserve"> сельсовет, </w:t>
            </w:r>
            <w:proofErr w:type="spellStart"/>
            <w:r w:rsidRPr="00B2717A">
              <w:rPr>
                <w:sz w:val="24"/>
                <w:szCs w:val="24"/>
              </w:rPr>
              <w:t>д.Лозки</w:t>
            </w:r>
            <w:proofErr w:type="spellEnd"/>
            <w:r w:rsidRPr="00B2717A">
              <w:rPr>
                <w:sz w:val="24"/>
                <w:szCs w:val="24"/>
              </w:rPr>
              <w:t>, д.25</w:t>
            </w:r>
          </w:p>
          <w:p w14:paraId="7A9D85F8" w14:textId="77777777" w:rsidR="00B2717A" w:rsidRDefault="00B2717A" w:rsidP="00E57D9A">
            <w:pPr>
              <w:rPr>
                <w:sz w:val="24"/>
                <w:szCs w:val="24"/>
              </w:rPr>
            </w:pPr>
          </w:p>
          <w:p w14:paraId="08297DB3" w14:textId="77777777" w:rsidR="00B2717A" w:rsidRPr="00B2717A" w:rsidRDefault="00B2717A" w:rsidP="00E57D9A">
            <w:pPr>
              <w:rPr>
                <w:sz w:val="24"/>
                <w:szCs w:val="24"/>
              </w:rPr>
            </w:pPr>
          </w:p>
          <w:p w14:paraId="3AC7E038" w14:textId="77777777" w:rsidR="00B2717A" w:rsidRPr="00B2717A" w:rsidRDefault="00B2717A" w:rsidP="00E57D9A">
            <w:pPr>
              <w:rPr>
                <w:sz w:val="24"/>
                <w:szCs w:val="24"/>
              </w:rPr>
            </w:pPr>
            <w:r w:rsidRPr="00B2717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EC048" wp14:editId="58833D55">
                  <wp:extent cx="2876550" cy="2157413"/>
                  <wp:effectExtent l="0" t="0" r="0" b="0"/>
                  <wp:docPr id="1" name="Рисунок 1" descr="C:\Users\Admin\AppData\Local\Microsoft\Windows\INetCache\Content.Word\Фото до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Фото до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14:paraId="20F193EB" w14:textId="77777777" w:rsidR="009D317A" w:rsidRDefault="00B2717A" w:rsidP="00E57D9A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Строк Раиса Семеновна</w:t>
            </w:r>
            <w:r w:rsidR="009D317A">
              <w:rPr>
                <w:sz w:val="24"/>
                <w:szCs w:val="24"/>
              </w:rPr>
              <w:t>,</w:t>
            </w:r>
          </w:p>
          <w:p w14:paraId="6EC47476" w14:textId="77777777" w:rsidR="009D317A" w:rsidRPr="00B2717A" w:rsidRDefault="009D317A" w:rsidP="00E5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умерла 28.04.2011</w:t>
            </w:r>
          </w:p>
        </w:tc>
        <w:tc>
          <w:tcPr>
            <w:tcW w:w="1560" w:type="dxa"/>
          </w:tcPr>
          <w:p w14:paraId="01B4C7C2" w14:textId="77777777" w:rsidR="00B2717A" w:rsidRPr="00B2717A" w:rsidRDefault="00B2717A" w:rsidP="00E57D9A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более трех лет</w:t>
            </w:r>
          </w:p>
        </w:tc>
        <w:tc>
          <w:tcPr>
            <w:tcW w:w="3827" w:type="dxa"/>
          </w:tcPr>
          <w:p w14:paraId="0F601EBE" w14:textId="77777777" w:rsidR="00B2717A" w:rsidRPr="00B2717A" w:rsidRDefault="00B2717A" w:rsidP="00F47A7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Одноквартирный жилой дом.</w:t>
            </w:r>
          </w:p>
          <w:p w14:paraId="75881A84" w14:textId="77777777" w:rsidR="00B2717A" w:rsidRPr="00B2717A" w:rsidRDefault="00B2717A" w:rsidP="00F47A7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 xml:space="preserve">Общая площадь дома – 40,3 </w:t>
            </w:r>
            <w:proofErr w:type="spellStart"/>
            <w:r w:rsidRPr="00B2717A">
              <w:rPr>
                <w:sz w:val="24"/>
                <w:szCs w:val="24"/>
              </w:rPr>
              <w:t>м.кв</w:t>
            </w:r>
            <w:proofErr w:type="spellEnd"/>
            <w:r w:rsidRPr="00B2717A">
              <w:rPr>
                <w:sz w:val="24"/>
                <w:szCs w:val="24"/>
              </w:rPr>
              <w:t>.</w:t>
            </w:r>
          </w:p>
          <w:p w14:paraId="016E3357" w14:textId="77777777" w:rsidR="00B2717A" w:rsidRPr="00B2717A" w:rsidRDefault="00B2717A" w:rsidP="00F47A7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Возмещение расходов на электроэнергию – нет.</w:t>
            </w:r>
          </w:p>
          <w:p w14:paraId="7BB44DF8" w14:textId="77777777" w:rsidR="00B2717A" w:rsidRPr="00B2717A" w:rsidRDefault="00B2717A" w:rsidP="00F47A7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Уплата обязательных страховых взносов не производилась с 2011 г.</w:t>
            </w:r>
          </w:p>
          <w:p w14:paraId="4F201A3B" w14:textId="77777777" w:rsidR="00B2717A" w:rsidRPr="00B2717A" w:rsidRDefault="00B2717A" w:rsidP="00F47A7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Дата ввода в эксплуатацию жилого дома – 1965 г.</w:t>
            </w:r>
          </w:p>
          <w:p w14:paraId="1D9B2779" w14:textId="77777777" w:rsidR="00B2717A" w:rsidRPr="00B2717A" w:rsidRDefault="00B2717A" w:rsidP="00F47A7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Материал стен – дерево.</w:t>
            </w:r>
          </w:p>
          <w:p w14:paraId="6445FEDB" w14:textId="77777777" w:rsidR="00B2717A" w:rsidRPr="00B2717A" w:rsidRDefault="00B2717A" w:rsidP="00F47A7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Этажность – одноэтажный.</w:t>
            </w:r>
          </w:p>
          <w:p w14:paraId="6C4F16B6" w14:textId="77777777" w:rsidR="00B2717A" w:rsidRPr="00B2717A" w:rsidRDefault="00B2717A" w:rsidP="00F47A7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Подземная этажность – нет сведений.</w:t>
            </w:r>
          </w:p>
          <w:p w14:paraId="31272753" w14:textId="77777777" w:rsidR="00B2717A" w:rsidRPr="00B2717A" w:rsidRDefault="00B2717A" w:rsidP="00F47A7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Хозяйственные постройки:</w:t>
            </w:r>
          </w:p>
          <w:p w14:paraId="461C6183" w14:textId="77777777" w:rsidR="00B2717A" w:rsidRDefault="00B2717A" w:rsidP="00CE1800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 xml:space="preserve">сарай размером 6 на 12 м., </w:t>
            </w:r>
          </w:p>
          <w:p w14:paraId="49D5A792" w14:textId="77777777" w:rsidR="00B2717A" w:rsidRPr="00B2717A" w:rsidRDefault="00B2717A" w:rsidP="00CE1800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погреб.</w:t>
            </w:r>
          </w:p>
        </w:tc>
        <w:tc>
          <w:tcPr>
            <w:tcW w:w="2487" w:type="dxa"/>
          </w:tcPr>
          <w:p w14:paraId="248A62BC" w14:textId="77777777" w:rsidR="00B2717A" w:rsidRPr="00B2717A" w:rsidRDefault="00B2717A" w:rsidP="00E57D9A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Кадастровый номер земельного участка, на котором расположено капитальное строение:</w:t>
            </w:r>
          </w:p>
          <w:p w14:paraId="6BFA7FD7" w14:textId="77777777" w:rsidR="00B2717A" w:rsidRPr="00B2717A" w:rsidRDefault="00B2717A" w:rsidP="00E57D9A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424383502601000092 (присвоен предварительно)</w:t>
            </w:r>
          </w:p>
        </w:tc>
      </w:tr>
    </w:tbl>
    <w:p w14:paraId="2666D88E" w14:textId="77777777" w:rsidR="00E57D9A" w:rsidRDefault="00E57D9A" w:rsidP="00CE1800"/>
    <w:p w14:paraId="528E8CC3" w14:textId="77777777" w:rsidR="0090195E" w:rsidRDefault="0090195E" w:rsidP="00CE1800"/>
    <w:p w14:paraId="41BAF220" w14:textId="77777777" w:rsidR="0090195E" w:rsidRDefault="0090195E" w:rsidP="00CE1800"/>
    <w:p w14:paraId="3BE794EF" w14:textId="77777777" w:rsidR="0090195E" w:rsidRDefault="0090195E" w:rsidP="0090195E">
      <w:pPr>
        <w:ind w:firstLine="709"/>
        <w:jc w:val="both"/>
      </w:pPr>
      <w:r>
        <w:lastRenderedPageBreak/>
        <w:t>2.Негневичский сельский исполнительный комитет Новогрудского района разыскивает собственников и наследников пустующего жилого дома: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87"/>
        <w:gridCol w:w="2025"/>
        <w:gridCol w:w="1560"/>
        <w:gridCol w:w="3827"/>
        <w:gridCol w:w="2487"/>
      </w:tblGrid>
      <w:tr w:rsidR="0090195E" w:rsidRPr="00B2717A" w14:paraId="1FBE8625" w14:textId="77777777" w:rsidTr="00B46E2B">
        <w:tc>
          <w:tcPr>
            <w:tcW w:w="4887" w:type="dxa"/>
            <w:vAlign w:val="center"/>
          </w:tcPr>
          <w:p w14:paraId="3E497076" w14:textId="77777777" w:rsidR="0090195E" w:rsidRPr="00B2717A" w:rsidRDefault="0090195E" w:rsidP="00B46E2B">
            <w:pPr>
              <w:jc w:val="center"/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Местонахождение жилого дома</w:t>
            </w:r>
          </w:p>
        </w:tc>
        <w:tc>
          <w:tcPr>
            <w:tcW w:w="2025" w:type="dxa"/>
            <w:vAlign w:val="center"/>
          </w:tcPr>
          <w:p w14:paraId="226C3E54" w14:textId="77777777" w:rsidR="0090195E" w:rsidRPr="00B2717A" w:rsidRDefault="0090195E" w:rsidP="00B46E2B">
            <w:pPr>
              <w:jc w:val="center"/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  <w:tc>
          <w:tcPr>
            <w:tcW w:w="1560" w:type="dxa"/>
            <w:vAlign w:val="center"/>
          </w:tcPr>
          <w:p w14:paraId="2D9FDFBA" w14:textId="77777777" w:rsidR="0090195E" w:rsidRPr="00B2717A" w:rsidRDefault="0090195E" w:rsidP="00B46E2B">
            <w:pPr>
              <w:jc w:val="center"/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 xml:space="preserve">Срок </w:t>
            </w:r>
            <w:proofErr w:type="spellStart"/>
            <w:r w:rsidRPr="00B2717A">
              <w:rPr>
                <w:sz w:val="24"/>
                <w:szCs w:val="24"/>
              </w:rPr>
              <w:t>непроживания</w:t>
            </w:r>
            <w:proofErr w:type="spellEnd"/>
            <w:r w:rsidRPr="00B2717A">
              <w:rPr>
                <w:sz w:val="24"/>
                <w:szCs w:val="24"/>
              </w:rPr>
              <w:t xml:space="preserve"> в данном жилом доме</w:t>
            </w:r>
          </w:p>
        </w:tc>
        <w:tc>
          <w:tcPr>
            <w:tcW w:w="3827" w:type="dxa"/>
            <w:vAlign w:val="center"/>
          </w:tcPr>
          <w:p w14:paraId="6956B9C9" w14:textId="77777777" w:rsidR="0090195E" w:rsidRPr="00B2717A" w:rsidRDefault="0090195E" w:rsidP="00B46E2B">
            <w:pPr>
              <w:jc w:val="center"/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Сведения о жилом доме</w:t>
            </w:r>
          </w:p>
        </w:tc>
        <w:tc>
          <w:tcPr>
            <w:tcW w:w="2487" w:type="dxa"/>
            <w:vAlign w:val="center"/>
          </w:tcPr>
          <w:p w14:paraId="3F223E58" w14:textId="77777777" w:rsidR="0090195E" w:rsidRPr="00B2717A" w:rsidRDefault="0090195E" w:rsidP="00B46E2B">
            <w:pPr>
              <w:jc w:val="center"/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Сведения о земельном участке</w:t>
            </w:r>
          </w:p>
        </w:tc>
      </w:tr>
      <w:tr w:rsidR="0090195E" w:rsidRPr="00B2717A" w14:paraId="1763B06D" w14:textId="77777777" w:rsidTr="00B46E2B">
        <w:trPr>
          <w:trHeight w:val="5083"/>
        </w:trPr>
        <w:tc>
          <w:tcPr>
            <w:tcW w:w="4887" w:type="dxa"/>
          </w:tcPr>
          <w:p w14:paraId="6B2CFA8D" w14:textId="77777777" w:rsidR="0090195E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 xml:space="preserve">Гродненская область, Новогрудский район, </w:t>
            </w:r>
            <w:proofErr w:type="spellStart"/>
            <w:r w:rsidRPr="00B2717A">
              <w:rPr>
                <w:sz w:val="24"/>
                <w:szCs w:val="24"/>
              </w:rPr>
              <w:t>Негневичский</w:t>
            </w:r>
            <w:proofErr w:type="spellEnd"/>
            <w:r w:rsidRPr="00B2717A">
              <w:rPr>
                <w:sz w:val="24"/>
                <w:szCs w:val="24"/>
              </w:rPr>
              <w:t xml:space="preserve"> сельсовет, </w:t>
            </w:r>
            <w:r>
              <w:rPr>
                <w:sz w:val="24"/>
                <w:szCs w:val="24"/>
              </w:rPr>
              <w:t xml:space="preserve">агрогородок </w:t>
            </w:r>
            <w:proofErr w:type="spellStart"/>
            <w:r>
              <w:rPr>
                <w:sz w:val="24"/>
                <w:szCs w:val="24"/>
              </w:rPr>
              <w:t>Негневичи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ул.Поплавская</w:t>
            </w:r>
            <w:proofErr w:type="spellEnd"/>
            <w:r w:rsidRPr="00B2717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  <w:p w14:paraId="3794ED82" w14:textId="77777777" w:rsidR="0090195E" w:rsidRDefault="0090195E" w:rsidP="00B46E2B">
            <w:pPr>
              <w:rPr>
                <w:sz w:val="24"/>
                <w:szCs w:val="24"/>
              </w:rPr>
            </w:pPr>
          </w:p>
          <w:p w14:paraId="6768587C" w14:textId="77777777" w:rsidR="0090195E" w:rsidRPr="00B2717A" w:rsidRDefault="0090195E" w:rsidP="00B46E2B">
            <w:pPr>
              <w:rPr>
                <w:sz w:val="24"/>
                <w:szCs w:val="24"/>
              </w:rPr>
            </w:pPr>
          </w:p>
          <w:p w14:paraId="29177918" w14:textId="77777777" w:rsidR="0090195E" w:rsidRPr="00B2717A" w:rsidRDefault="003C6C0F" w:rsidP="00B46E2B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D4C20B" wp14:editId="2624E382">
                  <wp:extent cx="3031704" cy="2276475"/>
                  <wp:effectExtent l="0" t="0" r="0" b="0"/>
                  <wp:docPr id="3" name="Рисунок 3" descr="C:\Users\Admin\AppData\Local\Microsoft\Windows\INetCache\Content.Word\Негневичи ул Поплавская 3 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INetCache\Content.Word\Негневичи ул Поплавская 3 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704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14:paraId="048D64B7" w14:textId="77777777" w:rsidR="0090195E" w:rsidRDefault="0090195E" w:rsidP="00B46E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Бурчик</w:t>
            </w:r>
            <w:proofErr w:type="spellEnd"/>
            <w:r>
              <w:rPr>
                <w:sz w:val="24"/>
                <w:szCs w:val="24"/>
              </w:rPr>
              <w:t xml:space="preserve"> Лидия Илларионовна,</w:t>
            </w:r>
          </w:p>
          <w:p w14:paraId="3F5D6F89" w14:textId="77777777" w:rsidR="0090195E" w:rsidRPr="00B2717A" w:rsidRDefault="0090195E" w:rsidP="0090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умерла 26.06.2014</w:t>
            </w:r>
          </w:p>
        </w:tc>
        <w:tc>
          <w:tcPr>
            <w:tcW w:w="1560" w:type="dxa"/>
          </w:tcPr>
          <w:p w14:paraId="7E8CB74D" w14:textId="77777777" w:rsidR="0090195E" w:rsidRPr="00B2717A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более трех лет</w:t>
            </w:r>
          </w:p>
        </w:tc>
        <w:tc>
          <w:tcPr>
            <w:tcW w:w="3827" w:type="dxa"/>
          </w:tcPr>
          <w:p w14:paraId="776111AF" w14:textId="77777777" w:rsidR="0090195E" w:rsidRPr="00B2717A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Одноквартирный жилой дом.</w:t>
            </w:r>
          </w:p>
          <w:p w14:paraId="61F06B92" w14:textId="77777777" w:rsidR="0090195E" w:rsidRPr="00B2717A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 xml:space="preserve">Общая площадь дома – </w:t>
            </w:r>
            <w:r>
              <w:rPr>
                <w:sz w:val="24"/>
                <w:szCs w:val="24"/>
              </w:rPr>
              <w:t>54</w:t>
            </w:r>
            <w:r w:rsidRPr="00B2717A">
              <w:rPr>
                <w:sz w:val="24"/>
                <w:szCs w:val="24"/>
              </w:rPr>
              <w:t xml:space="preserve"> </w:t>
            </w:r>
            <w:proofErr w:type="spellStart"/>
            <w:r w:rsidRPr="00B2717A">
              <w:rPr>
                <w:sz w:val="24"/>
                <w:szCs w:val="24"/>
              </w:rPr>
              <w:t>м.кв</w:t>
            </w:r>
            <w:proofErr w:type="spellEnd"/>
            <w:r w:rsidRPr="00B2717A">
              <w:rPr>
                <w:sz w:val="24"/>
                <w:szCs w:val="24"/>
              </w:rPr>
              <w:t>.</w:t>
            </w:r>
          </w:p>
          <w:p w14:paraId="5F5BA9C3" w14:textId="77777777" w:rsidR="0090195E" w:rsidRPr="00B2717A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Возмещение расходов на электроэнергию – нет.</w:t>
            </w:r>
          </w:p>
          <w:p w14:paraId="5A8C82FE" w14:textId="77777777" w:rsidR="0090195E" w:rsidRPr="00B2717A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Уплата обязательных страховых взносов не производилась</w:t>
            </w:r>
            <w:r>
              <w:rPr>
                <w:sz w:val="24"/>
                <w:szCs w:val="24"/>
              </w:rPr>
              <w:t>.</w:t>
            </w:r>
          </w:p>
          <w:p w14:paraId="5B8A2C5A" w14:textId="77777777" w:rsidR="0090195E" w:rsidRPr="00B2717A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Дата ввода в эксплуатацию жилого дома – 19</w:t>
            </w:r>
            <w:r>
              <w:rPr>
                <w:sz w:val="24"/>
                <w:szCs w:val="24"/>
              </w:rPr>
              <w:t>76</w:t>
            </w:r>
            <w:r w:rsidRPr="00B2717A">
              <w:rPr>
                <w:sz w:val="24"/>
                <w:szCs w:val="24"/>
              </w:rPr>
              <w:t xml:space="preserve"> г.</w:t>
            </w:r>
          </w:p>
          <w:p w14:paraId="5ED46FFB" w14:textId="77777777" w:rsidR="0090195E" w:rsidRPr="00B2717A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Материал стен – дерево.</w:t>
            </w:r>
          </w:p>
          <w:p w14:paraId="16D8D09F" w14:textId="77777777" w:rsidR="0090195E" w:rsidRPr="00B2717A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Этажность – одноэтажный.</w:t>
            </w:r>
          </w:p>
          <w:p w14:paraId="16C80E79" w14:textId="77777777" w:rsidR="0090195E" w:rsidRPr="00B2717A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Подземная этажность – нет сведений.</w:t>
            </w:r>
          </w:p>
          <w:p w14:paraId="13DFFFF7" w14:textId="77777777" w:rsidR="0090195E" w:rsidRPr="00B2717A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Хозяйственные постройки:</w:t>
            </w:r>
          </w:p>
          <w:p w14:paraId="136B6F90" w14:textId="77777777" w:rsidR="0090195E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 xml:space="preserve">сарай размером 6 на </w:t>
            </w:r>
            <w:r>
              <w:rPr>
                <w:sz w:val="24"/>
                <w:szCs w:val="24"/>
              </w:rPr>
              <w:t>8</w:t>
            </w:r>
            <w:r w:rsidRPr="00B2717A">
              <w:rPr>
                <w:sz w:val="24"/>
                <w:szCs w:val="24"/>
              </w:rPr>
              <w:t xml:space="preserve"> м., </w:t>
            </w:r>
          </w:p>
          <w:p w14:paraId="1BA3B012" w14:textId="77777777" w:rsidR="0090195E" w:rsidRPr="00B2717A" w:rsidRDefault="0090195E" w:rsidP="00B46E2B">
            <w:pPr>
              <w:rPr>
                <w:sz w:val="24"/>
                <w:szCs w:val="24"/>
              </w:rPr>
            </w:pPr>
            <w:r w:rsidRPr="00B2717A">
              <w:rPr>
                <w:sz w:val="24"/>
                <w:szCs w:val="24"/>
              </w:rPr>
              <w:t>погреб.</w:t>
            </w:r>
          </w:p>
        </w:tc>
        <w:tc>
          <w:tcPr>
            <w:tcW w:w="2487" w:type="dxa"/>
          </w:tcPr>
          <w:p w14:paraId="71A66453" w14:textId="77777777" w:rsidR="0090195E" w:rsidRPr="00B2717A" w:rsidRDefault="0090195E" w:rsidP="003C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Сведений </w:t>
            </w:r>
            <w:r w:rsidR="003C6C0F">
              <w:rPr>
                <w:sz w:val="24"/>
                <w:szCs w:val="24"/>
              </w:rPr>
              <w:t xml:space="preserve">о </w:t>
            </w:r>
            <w:r w:rsidRPr="00B2717A">
              <w:rPr>
                <w:sz w:val="24"/>
                <w:szCs w:val="24"/>
              </w:rPr>
              <w:t>земельно</w:t>
            </w:r>
            <w:r>
              <w:rPr>
                <w:sz w:val="24"/>
                <w:szCs w:val="24"/>
              </w:rPr>
              <w:t>м</w:t>
            </w:r>
            <w:r w:rsidRPr="00B2717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е</w:t>
            </w:r>
            <w:r w:rsidRPr="00B2717A">
              <w:rPr>
                <w:sz w:val="24"/>
                <w:szCs w:val="24"/>
              </w:rPr>
              <w:t>, на котором расположено капитальное строение</w:t>
            </w:r>
            <w:r>
              <w:rPr>
                <w:sz w:val="24"/>
                <w:szCs w:val="24"/>
              </w:rPr>
              <w:t xml:space="preserve">, </w:t>
            </w:r>
            <w:r w:rsidR="003C6C0F">
              <w:rPr>
                <w:sz w:val="24"/>
                <w:szCs w:val="24"/>
              </w:rPr>
              <w:t>не имеется.</w:t>
            </w:r>
          </w:p>
        </w:tc>
      </w:tr>
    </w:tbl>
    <w:p w14:paraId="66740B34" w14:textId="77777777" w:rsidR="0090195E" w:rsidRPr="00C5795B" w:rsidRDefault="0090195E" w:rsidP="00CE1800"/>
    <w:sectPr w:rsidR="0090195E" w:rsidRPr="00C5795B" w:rsidSect="00B2717A">
      <w:pgSz w:w="16838" w:h="11906" w:orient="landscape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5B"/>
    <w:rsid w:val="003C6C0F"/>
    <w:rsid w:val="00566B0A"/>
    <w:rsid w:val="007C4785"/>
    <w:rsid w:val="0090195E"/>
    <w:rsid w:val="009D317A"/>
    <w:rsid w:val="009E5A0E"/>
    <w:rsid w:val="00B2717A"/>
    <w:rsid w:val="00C5795B"/>
    <w:rsid w:val="00CC54A0"/>
    <w:rsid w:val="00CE1800"/>
    <w:rsid w:val="00E57D9A"/>
    <w:rsid w:val="00F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707B"/>
  <w15:docId w15:val="{0941ADD5-FC41-4AAF-BC8B-06A96865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30"/>
        <w:szCs w:val="3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Ideol2</cp:lastModifiedBy>
  <cp:revision>2</cp:revision>
  <dcterms:created xsi:type="dcterms:W3CDTF">2023-05-12T09:31:00Z</dcterms:created>
  <dcterms:modified xsi:type="dcterms:W3CDTF">2023-05-12T09:31:00Z</dcterms:modified>
</cp:coreProperties>
</file>