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1633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0B87569B" w14:textId="4C219F5E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noProof/>
          <w:lang w:val="ru-BY" w:eastAsia="ru-BY"/>
        </w:rPr>
        <w:drawing>
          <wp:inline distT="0" distB="0" distL="0" distR="0" wp14:anchorId="7C248D71" wp14:editId="5457ECBB">
            <wp:extent cx="476250" cy="304800"/>
            <wp:effectExtent l="0" t="0" r="0" b="0"/>
            <wp:docPr id="1" name="Рисунок 1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1FC8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Министерство по налогам и сборам Республики Беларусь напоминает, что с 1 января 2023 г. юридические лица и индивидуальные предприниматели 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кассовое оборудование.</w:t>
      </w:r>
    </w:p>
    <w:p w14:paraId="5438333E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Учитывая, что одномоментное подключение кассового оборудования всех заинтересованных субъектов хозяйствования к системе контроля кассового оборудования не представляется возможным, необходимо заблаговременно:</w:t>
      </w:r>
    </w:p>
    <w:p w14:paraId="0B12A778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приобрести программные кассы либо кассовые суммирующие аппараты (далее – кассовые аппараты);</w:t>
      </w:r>
    </w:p>
    <w:p w14:paraId="65AF672E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заключить с республиканским унитарным предприятием «Информационно-издательский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СККО), подать заявки на подключение кассового оборудования к СККО.</w:t>
      </w:r>
    </w:p>
    <w:p w14:paraId="15163F95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Договор с РУП ИИЦ является публичным, ознакомиться с которым можно на сайте </w:t>
      </w:r>
      <w:hyperlink r:id="rId6" w:history="1">
        <w:r w:rsidRPr="000D6B93">
          <w:rPr>
            <w:u w:val="single"/>
            <w:lang w:val="ru-BY" w:eastAsia="ru-BY"/>
          </w:rPr>
          <w:t>https://skko.by/</w:t>
        </w:r>
      </w:hyperlink>
    </w:p>
    <w:p w14:paraId="1191F1E0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7" w:history="1">
        <w:r w:rsidRPr="000D6B93">
          <w:rPr>
            <w:u w:val="single"/>
            <w:lang w:val="ru-BY" w:eastAsia="ru-BY"/>
          </w:rPr>
          <w:t>https://info-center.by/services/cashdesks</w:t>
        </w:r>
      </w:hyperlink>
      <w:r w:rsidRPr="000D6B93">
        <w:rPr>
          <w:lang w:val="ru-BY" w:eastAsia="ru-BY"/>
        </w:rPr>
        <w:t>).</w:t>
      </w:r>
    </w:p>
    <w:p w14:paraId="26F8E170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и доступна на официальном сайте Государственного комитета по стандартизации (</w:t>
      </w:r>
      <w:hyperlink r:id="rId8" w:history="1">
        <w:r w:rsidRPr="000D6B93">
          <w:rPr>
            <w:u w:val="single"/>
            <w:lang w:val="ru-BY" w:eastAsia="ru-BY"/>
          </w:rPr>
          <w:t>https://registry.belgiss.by/</w:t>
        </w:r>
      </w:hyperlink>
      <w:r w:rsidRPr="000D6B93">
        <w:rPr>
          <w:lang w:val="ru-BY" w:eastAsia="ru-BY"/>
        </w:rPr>
        <w:t>).</w:t>
      </w:r>
    </w:p>
    <w:p w14:paraId="34ED4EF8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Перед обращением в РУП ИИЦ субъектам хозяйствования:</w:t>
      </w:r>
    </w:p>
    <w:p w14:paraId="0EFB4C4D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намеревающимся использовать программную кассу, необходимо заключить договор с оператором программной кассовой системы;</w:t>
      </w:r>
    </w:p>
    <w:p w14:paraId="59AACF08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 xml:space="preserve">намеревающимся использовать кассовый аппарат, необходимо заключить договор с центром технического обслуживания и ремонта </w:t>
      </w:r>
      <w:r w:rsidRPr="000D6B93">
        <w:rPr>
          <w:lang w:val="ru-BY" w:eastAsia="ru-BY"/>
        </w:rPr>
        <w:lastRenderedPageBreak/>
        <w:t>кассовых аппаратов (далее – ЦТО) на техническое обслуживание и ремонт кассового аппарата.</w:t>
      </w:r>
    </w:p>
    <w:p w14:paraId="08D5546E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Министерство по налогам и сборам дополнительно рекомендует субъектам хозяйствования до приобретения ими кассовых аппаратов и 2 программных касс уточнять у продавцов кассового оборудования возможность последующей доработки кассовых аппаратов или программных касс для использования при реализации товаров, подлежащих маркировке унифицированными контрольными знаками или средствами идентификации. 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</w:t>
      </w:r>
    </w:p>
    <w:p w14:paraId="7B14B05D" w14:textId="7FA4A562" w:rsidR="00773A4F" w:rsidRDefault="00773A4F" w:rsidP="006B3F73">
      <w:pPr>
        <w:pStyle w:val="a5"/>
        <w:jc w:val="both"/>
        <w:rPr>
          <w:u w:val="single"/>
          <w:lang w:val="ru-BY" w:eastAsia="ru-BY"/>
        </w:rPr>
      </w:pPr>
      <w:r w:rsidRPr="000D6B93">
        <w:rPr>
          <w:lang w:val="ru-BY" w:eastAsia="ru-BY"/>
        </w:rPr>
        <w:t>С перечнем ЦТО можно ознакомиться по</w:t>
      </w:r>
      <w:r w:rsidR="00821C63">
        <w:rPr>
          <w:lang w:eastAsia="ru-BY"/>
        </w:rPr>
        <w:t xml:space="preserve"> </w:t>
      </w:r>
      <w:r w:rsidRPr="000D6B93">
        <w:rPr>
          <w:lang w:val="ru-BY" w:eastAsia="ru-BY"/>
        </w:rPr>
        <w:t>ссылке </w:t>
      </w:r>
      <w:hyperlink r:id="rId9" w:history="1">
        <w:r w:rsidRPr="000D6B93">
          <w:rPr>
            <w:u w:val="single"/>
            <w:lang w:val="ru-BY" w:eastAsia="ru-BY"/>
          </w:rPr>
          <w:t>https://skko.by/service_centers/</w:t>
        </w:r>
      </w:hyperlink>
    </w:p>
    <w:p w14:paraId="63BEC6A9" w14:textId="77777777" w:rsidR="00773A4F" w:rsidRPr="000D6B93" w:rsidRDefault="00773A4F" w:rsidP="006B3F73">
      <w:pPr>
        <w:pStyle w:val="a5"/>
        <w:jc w:val="both"/>
        <w:rPr>
          <w:lang w:val="ru-BY" w:eastAsia="ru-BY"/>
        </w:rPr>
      </w:pPr>
      <w:r w:rsidRPr="000D6B93">
        <w:rPr>
          <w:lang w:val="ru-BY" w:eastAsia="ru-BY"/>
        </w:rPr>
        <w:t>Подробная информация по вопросу приобретения и подключения кассового оборудования к СККО размещена на официальном сайте РУП ИИЦ в разделе «Система контроля кассового оборудования».</w:t>
      </w:r>
    </w:p>
    <w:p w14:paraId="20F641BA" w14:textId="77777777" w:rsidR="0025258E" w:rsidRPr="00773A4F" w:rsidRDefault="0025258E">
      <w:pPr>
        <w:rPr>
          <w:lang w:val="ru-BY"/>
        </w:rPr>
      </w:pPr>
    </w:p>
    <w:sectPr w:rsidR="0025258E" w:rsidRPr="0077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4F"/>
    <w:rsid w:val="000D6B93"/>
    <w:rsid w:val="0025258E"/>
    <w:rsid w:val="006B3F73"/>
    <w:rsid w:val="00773A4F"/>
    <w:rsid w:val="00821C63"/>
    <w:rsid w:val="00BD539E"/>
    <w:rsid w:val="00E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A887"/>
  <w15:chartTrackingRefBased/>
  <w15:docId w15:val="{6A7DC1F7-6B07-4C7F-8508-A8EA34E3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E5"/>
    <w:rPr>
      <w:sz w:val="30"/>
      <w:szCs w:val="30"/>
      <w:lang w:val="ru-RU" w:eastAsia="ru-RU"/>
    </w:rPr>
  </w:style>
  <w:style w:type="paragraph" w:styleId="1">
    <w:name w:val="heading 1"/>
    <w:basedOn w:val="a"/>
    <w:next w:val="a"/>
    <w:link w:val="10"/>
    <w:qFormat/>
    <w:rsid w:val="00E606E5"/>
    <w:pPr>
      <w:keepNext/>
      <w:jc w:val="center"/>
      <w:outlineLvl w:val="0"/>
    </w:pPr>
    <w:rPr>
      <w:rFonts w:ascii="Courier New" w:hAnsi="Courier New"/>
      <w:b/>
      <w:sz w:val="18"/>
      <w:szCs w:val="20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E606E5"/>
    <w:pPr>
      <w:keepNext/>
      <w:jc w:val="center"/>
      <w:outlineLvl w:val="1"/>
    </w:pPr>
    <w:rPr>
      <w:rFonts w:ascii="CG Times" w:hAnsi="CG Times"/>
      <w:b/>
      <w:color w:val="FF0000"/>
      <w:sz w:val="18"/>
      <w:szCs w:val="20"/>
      <w:lang w:val="be-BY"/>
    </w:rPr>
  </w:style>
  <w:style w:type="paragraph" w:styleId="3">
    <w:name w:val="heading 3"/>
    <w:basedOn w:val="a"/>
    <w:next w:val="a"/>
    <w:link w:val="30"/>
    <w:qFormat/>
    <w:rsid w:val="00E606E5"/>
    <w:pPr>
      <w:keepNext/>
      <w:jc w:val="both"/>
      <w:outlineLvl w:val="2"/>
    </w:pPr>
    <w:rPr>
      <w:rFonts w:ascii="CG Times" w:hAnsi="CG Times"/>
      <w:b/>
      <w:color w:val="FF0000"/>
      <w:sz w:val="20"/>
      <w:szCs w:val="20"/>
    </w:rPr>
  </w:style>
  <w:style w:type="paragraph" w:styleId="4">
    <w:name w:val="heading 4"/>
    <w:basedOn w:val="a"/>
    <w:next w:val="a"/>
    <w:link w:val="40"/>
    <w:qFormat/>
    <w:rsid w:val="00E606E5"/>
    <w:pPr>
      <w:keepNext/>
      <w:jc w:val="center"/>
      <w:outlineLvl w:val="3"/>
    </w:pPr>
    <w:rPr>
      <w:rFonts w:ascii="CG Times" w:hAnsi="CG Times"/>
      <w:b/>
      <w:color w:val="FF0000"/>
      <w:sz w:val="20"/>
      <w:szCs w:val="20"/>
    </w:rPr>
  </w:style>
  <w:style w:type="paragraph" w:styleId="5">
    <w:name w:val="heading 5"/>
    <w:basedOn w:val="a"/>
    <w:next w:val="a"/>
    <w:link w:val="50"/>
    <w:qFormat/>
    <w:rsid w:val="00E606E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606E5"/>
    <w:pPr>
      <w:keepNext/>
      <w:ind w:firstLine="108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6E5"/>
    <w:rPr>
      <w:rFonts w:ascii="Courier New" w:hAnsi="Courier New"/>
      <w:b/>
      <w:sz w:val="1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E606E5"/>
    <w:rPr>
      <w:rFonts w:ascii="CG Times" w:hAnsi="CG Times"/>
      <w:b/>
      <w:color w:val="FF0000"/>
      <w:sz w:val="18"/>
      <w:lang w:val="be-BY" w:eastAsia="ru-RU"/>
    </w:rPr>
  </w:style>
  <w:style w:type="character" w:customStyle="1" w:styleId="30">
    <w:name w:val="Заголовок 3 Знак"/>
    <w:basedOn w:val="a0"/>
    <w:link w:val="3"/>
    <w:rsid w:val="00E606E5"/>
    <w:rPr>
      <w:rFonts w:ascii="CG Times" w:hAnsi="CG Times"/>
      <w:b/>
      <w:color w:val="FF0000"/>
      <w:lang w:val="ru-RU" w:eastAsia="ru-RU"/>
    </w:rPr>
  </w:style>
  <w:style w:type="character" w:customStyle="1" w:styleId="40">
    <w:name w:val="Заголовок 4 Знак"/>
    <w:basedOn w:val="a0"/>
    <w:link w:val="4"/>
    <w:rsid w:val="00E606E5"/>
    <w:rPr>
      <w:rFonts w:ascii="CG Times" w:hAnsi="CG Times"/>
      <w:b/>
      <w:color w:val="FF0000"/>
      <w:lang w:val="ru-RU" w:eastAsia="ru-RU"/>
    </w:rPr>
  </w:style>
  <w:style w:type="character" w:customStyle="1" w:styleId="50">
    <w:name w:val="Заголовок 5 Знак"/>
    <w:basedOn w:val="a0"/>
    <w:link w:val="5"/>
    <w:rsid w:val="00E606E5"/>
    <w:rPr>
      <w:b/>
      <w:bCs/>
      <w:sz w:val="30"/>
      <w:szCs w:val="30"/>
      <w:lang w:val="ru-RU" w:eastAsia="ru-RU"/>
    </w:rPr>
  </w:style>
  <w:style w:type="character" w:customStyle="1" w:styleId="60">
    <w:name w:val="Заголовок 6 Знак"/>
    <w:basedOn w:val="a0"/>
    <w:link w:val="6"/>
    <w:rsid w:val="00E606E5"/>
    <w:rPr>
      <w:sz w:val="28"/>
      <w:szCs w:val="30"/>
      <w:lang w:val="ru-RU" w:eastAsia="ru-RU"/>
    </w:rPr>
  </w:style>
  <w:style w:type="character" w:customStyle="1" w:styleId="itemimage">
    <w:name w:val="itemimage"/>
    <w:basedOn w:val="a0"/>
    <w:rsid w:val="00773A4F"/>
  </w:style>
  <w:style w:type="character" w:styleId="a3">
    <w:name w:val="Hyperlink"/>
    <w:basedOn w:val="a0"/>
    <w:uiPriority w:val="99"/>
    <w:semiHidden/>
    <w:unhideWhenUsed/>
    <w:rsid w:val="00773A4F"/>
    <w:rPr>
      <w:color w:val="0000FF"/>
      <w:u w:val="single"/>
    </w:rPr>
  </w:style>
  <w:style w:type="character" w:customStyle="1" w:styleId="newscontainer-itemdatecreated">
    <w:name w:val="newscontainer-itemdatecreated"/>
    <w:basedOn w:val="a0"/>
    <w:rsid w:val="00773A4F"/>
  </w:style>
  <w:style w:type="paragraph" w:styleId="a4">
    <w:name w:val="Normal (Web)"/>
    <w:basedOn w:val="a"/>
    <w:uiPriority w:val="99"/>
    <w:semiHidden/>
    <w:unhideWhenUsed/>
    <w:rsid w:val="00773A4F"/>
    <w:pPr>
      <w:spacing w:before="100" w:beforeAutospacing="1" w:after="100" w:afterAutospacing="1"/>
    </w:pPr>
    <w:rPr>
      <w:sz w:val="24"/>
      <w:szCs w:val="24"/>
      <w:lang w:val="ru-BY" w:eastAsia="ru-BY"/>
    </w:rPr>
  </w:style>
  <w:style w:type="paragraph" w:styleId="a5">
    <w:name w:val="No Spacing"/>
    <w:uiPriority w:val="1"/>
    <w:qFormat/>
    <w:rsid w:val="006B3F73"/>
    <w:rPr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belgiss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-center.by/services/cashdes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ko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olotsk.vitebsk-region.gov.by/media/k2/items/cache/a5423031a8f4c950fc08926e0b43b23c_XL.jpg" TargetMode="External"/><Relationship Id="rId9" Type="http://schemas.openxmlformats.org/officeDocument/2006/relationships/hyperlink" Target="https://skko.by/service_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</dc:creator>
  <cp:keywords/>
  <dc:description/>
  <cp:lastModifiedBy>Ideol2</cp:lastModifiedBy>
  <cp:revision>2</cp:revision>
  <dcterms:created xsi:type="dcterms:W3CDTF">2022-10-17T08:26:00Z</dcterms:created>
  <dcterms:modified xsi:type="dcterms:W3CDTF">2022-10-17T08:26:00Z</dcterms:modified>
</cp:coreProperties>
</file>