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proofErr w:type="spellStart"/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proofErr w:type="spellEnd"/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lastRenderedPageBreak/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</w:t>
      </w:r>
      <w:r w:rsidRPr="00A10530">
        <w:rPr>
          <w:spacing w:val="-6"/>
          <w:sz w:val="30"/>
          <w:szCs w:val="30"/>
        </w:rPr>
        <w:lastRenderedPageBreak/>
        <w:t>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 xml:space="preserve">фамилия </w:t>
      </w:r>
      <w:r w:rsidRPr="00A10530">
        <w:rPr>
          <w:spacing w:val="-4"/>
          <w:sz w:val="30"/>
          <w:szCs w:val="30"/>
        </w:rPr>
        <w:lastRenderedPageBreak/>
        <w:t>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</w:t>
      </w:r>
      <w:proofErr w:type="spellStart"/>
      <w:r w:rsidR="000418E5" w:rsidRPr="00A10530">
        <w:rPr>
          <w:spacing w:val="-6"/>
          <w:sz w:val="30"/>
          <w:szCs w:val="30"/>
        </w:rPr>
        <w:t>А.Г.Лукашенко</w:t>
      </w:r>
      <w:proofErr w:type="spellEnd"/>
      <w:r w:rsidR="000418E5" w:rsidRPr="00A10530">
        <w:rPr>
          <w:spacing w:val="-6"/>
          <w:sz w:val="30"/>
          <w:szCs w:val="30"/>
        </w:rPr>
        <w:t>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lastRenderedPageBreak/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 xml:space="preserve">, мемориальный комплекс партизанской славы «Хованщина»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Туровский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 xml:space="preserve">», музейный комплекс старинных народных ремесел и </w:t>
      </w:r>
      <w:r w:rsidRPr="00A10530">
        <w:rPr>
          <w:bCs/>
          <w:i/>
          <w:iCs/>
          <w:szCs w:val="28"/>
        </w:rPr>
        <w:lastRenderedPageBreak/>
        <w:t>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г.Минске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>», построенное для Рогнеды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</w:t>
      </w:r>
      <w:r w:rsidR="001828ED" w:rsidRPr="00A10530">
        <w:rPr>
          <w:sz w:val="30"/>
          <w:szCs w:val="30"/>
        </w:rPr>
        <w:lastRenderedPageBreak/>
        <w:t xml:space="preserve">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>кафедральный костел святого Франциска Ксаверия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Пружанский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>, Ошмянский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«Браславские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lastRenderedPageBreak/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(Глубокский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медуслуг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lastRenderedPageBreak/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БелАЗ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БелАЗ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lastRenderedPageBreak/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 xml:space="preserve"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</w:t>
      </w:r>
      <w:r w:rsidRPr="00A10530">
        <w:rPr>
          <w:bCs/>
          <w:iCs/>
          <w:spacing w:val="-4"/>
          <w:sz w:val="30"/>
          <w:szCs w:val="30"/>
        </w:rPr>
        <w:lastRenderedPageBreak/>
        <w:t>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lastRenderedPageBreak/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54BF7C48" w:rsidR="0043363C" w:rsidRDefault="00284509" w:rsidP="00DD263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</w:t>
      </w:r>
      <w:proofErr w:type="spellStart"/>
      <w:r w:rsidR="004203C8" w:rsidRPr="00A10530">
        <w:rPr>
          <w:sz w:val="30"/>
          <w:szCs w:val="30"/>
        </w:rPr>
        <w:t>А.Г.Лукашенко</w:t>
      </w:r>
      <w:proofErr w:type="spellEnd"/>
      <w:r w:rsidR="004203C8" w:rsidRPr="00A10530">
        <w:rPr>
          <w:sz w:val="30"/>
          <w:szCs w:val="30"/>
        </w:rPr>
        <w:t xml:space="preserve">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510FC3ED" w14:textId="64DC38E8" w:rsidR="00143D58" w:rsidRDefault="00143D58" w:rsidP="00DD2639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F800601" w14:textId="1D733985" w:rsidR="00143D58" w:rsidRDefault="00143D58" w:rsidP="00DD2639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D4E7431" w14:textId="77777777" w:rsidR="00143D58" w:rsidRPr="00143D58" w:rsidRDefault="00143D58" w:rsidP="00143D58">
      <w:pPr>
        <w:spacing w:after="0" w:line="240" w:lineRule="auto"/>
        <w:jc w:val="center"/>
        <w:rPr>
          <w:b/>
          <w:i/>
          <w:iCs/>
          <w:sz w:val="30"/>
          <w:szCs w:val="30"/>
        </w:rPr>
      </w:pPr>
      <w:r w:rsidRPr="00143D58">
        <w:rPr>
          <w:b/>
          <w:i/>
          <w:iCs/>
          <w:sz w:val="30"/>
          <w:szCs w:val="30"/>
        </w:rPr>
        <w:t>Информация подготовлена управлением спорта и туризма Новогрудского райисполкома</w:t>
      </w:r>
    </w:p>
    <w:p w14:paraId="75CC5DE1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3C3A781A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Туристическая отрасль признана одним из приоритетных направлений развития </w:t>
      </w:r>
      <w:r w:rsidRPr="00143D58">
        <w:rPr>
          <w:b/>
          <w:i/>
          <w:iCs/>
          <w:sz w:val="30"/>
          <w:szCs w:val="30"/>
          <w:u w:val="single"/>
        </w:rPr>
        <w:t>Новогрудского района.</w:t>
      </w:r>
      <w:r w:rsidRPr="00143D58">
        <w:rPr>
          <w:bCs/>
          <w:sz w:val="30"/>
          <w:szCs w:val="30"/>
        </w:rPr>
        <w:t xml:space="preserve"> Существует множество конкурентных преимуществ, выделяющих Новогрудок среди иных городов Беларуси. </w:t>
      </w:r>
    </w:p>
    <w:p w14:paraId="2A1E3E8F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В первую очередь – это богатая значимыми событиями история. Новогрудок – первая столица Великого Княжества Литовского, одного из самых могущественных европейских государств своего времени. Это город, с историей которого тесно переплетена судьба многих значимых исторических фигур: Иохима </w:t>
      </w:r>
      <w:proofErr w:type="spellStart"/>
      <w:r w:rsidRPr="00143D58">
        <w:rPr>
          <w:bCs/>
          <w:sz w:val="30"/>
          <w:szCs w:val="30"/>
        </w:rPr>
        <w:t>Литавора</w:t>
      </w:r>
      <w:proofErr w:type="spellEnd"/>
      <w:r w:rsidRPr="00143D58">
        <w:rPr>
          <w:bCs/>
          <w:sz w:val="30"/>
          <w:szCs w:val="30"/>
        </w:rPr>
        <w:t xml:space="preserve"> </w:t>
      </w:r>
      <w:proofErr w:type="spellStart"/>
      <w:r w:rsidRPr="00143D58">
        <w:rPr>
          <w:bCs/>
          <w:sz w:val="30"/>
          <w:szCs w:val="30"/>
        </w:rPr>
        <w:t>Хрептовича</w:t>
      </w:r>
      <w:proofErr w:type="spellEnd"/>
      <w:r w:rsidRPr="00143D58">
        <w:rPr>
          <w:bCs/>
          <w:sz w:val="30"/>
          <w:szCs w:val="30"/>
        </w:rPr>
        <w:t xml:space="preserve">, Адама Мицкевича, Яна Чечета, Винцента </w:t>
      </w:r>
      <w:proofErr w:type="spellStart"/>
      <w:r w:rsidRPr="00143D58">
        <w:rPr>
          <w:bCs/>
          <w:sz w:val="30"/>
          <w:szCs w:val="30"/>
        </w:rPr>
        <w:t>Коротынского</w:t>
      </w:r>
      <w:proofErr w:type="spellEnd"/>
      <w:r w:rsidRPr="00143D58">
        <w:rPr>
          <w:bCs/>
          <w:sz w:val="30"/>
          <w:szCs w:val="30"/>
        </w:rPr>
        <w:t xml:space="preserve">, Яна </w:t>
      </w:r>
      <w:proofErr w:type="spellStart"/>
      <w:r w:rsidRPr="00143D58">
        <w:rPr>
          <w:bCs/>
          <w:sz w:val="30"/>
          <w:szCs w:val="30"/>
        </w:rPr>
        <w:t>Булгака</w:t>
      </w:r>
      <w:proofErr w:type="spellEnd"/>
      <w:r w:rsidRPr="00143D58">
        <w:rPr>
          <w:bCs/>
          <w:sz w:val="30"/>
          <w:szCs w:val="30"/>
        </w:rPr>
        <w:t>, Бориса Кита и многих других государственных, научных и культурных деятелей.</w:t>
      </w:r>
    </w:p>
    <w:p w14:paraId="6552C7DE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 На территории города и района находится 86 объектов, внесенных в список историко-культурного наследия. Самые значимые и посещаемые туристами среди них – это Новогрудский и </w:t>
      </w:r>
      <w:proofErr w:type="spellStart"/>
      <w:r w:rsidRPr="00143D58">
        <w:rPr>
          <w:bCs/>
          <w:sz w:val="30"/>
          <w:szCs w:val="30"/>
        </w:rPr>
        <w:t>Любчанский</w:t>
      </w:r>
      <w:proofErr w:type="spellEnd"/>
      <w:r w:rsidRPr="00143D58">
        <w:rPr>
          <w:bCs/>
          <w:sz w:val="30"/>
          <w:szCs w:val="30"/>
        </w:rPr>
        <w:t xml:space="preserve"> замки, фрагменты бывшего </w:t>
      </w:r>
      <w:proofErr w:type="spellStart"/>
      <w:r w:rsidRPr="00143D58">
        <w:rPr>
          <w:bCs/>
          <w:sz w:val="30"/>
          <w:szCs w:val="30"/>
        </w:rPr>
        <w:t>усадебно</w:t>
      </w:r>
      <w:proofErr w:type="spellEnd"/>
      <w:r w:rsidRPr="00143D58">
        <w:rPr>
          <w:bCs/>
          <w:sz w:val="30"/>
          <w:szCs w:val="30"/>
        </w:rPr>
        <w:t xml:space="preserve">-паркового комплекса рода </w:t>
      </w:r>
      <w:proofErr w:type="spellStart"/>
      <w:r w:rsidRPr="00143D58">
        <w:rPr>
          <w:bCs/>
          <w:sz w:val="30"/>
          <w:szCs w:val="30"/>
        </w:rPr>
        <w:t>Хрептовичей</w:t>
      </w:r>
      <w:proofErr w:type="spellEnd"/>
      <w:r w:rsidRPr="00143D58">
        <w:rPr>
          <w:bCs/>
          <w:sz w:val="30"/>
          <w:szCs w:val="30"/>
        </w:rPr>
        <w:t>, городская застройка начала ХХ века, храмы различных религий (</w:t>
      </w:r>
      <w:proofErr w:type="spellStart"/>
      <w:r w:rsidRPr="00143D58">
        <w:rPr>
          <w:bCs/>
          <w:sz w:val="30"/>
          <w:szCs w:val="30"/>
        </w:rPr>
        <w:t>Борисо-Глебская</w:t>
      </w:r>
      <w:proofErr w:type="spellEnd"/>
      <w:r w:rsidRPr="00143D58">
        <w:rPr>
          <w:bCs/>
          <w:sz w:val="30"/>
          <w:szCs w:val="30"/>
        </w:rPr>
        <w:t xml:space="preserve"> церковь, Фарный костел, костел Св. Михаила Архангела, мечеть в г. Новогрудок, костел Св. Казимира в </w:t>
      </w:r>
      <w:proofErr w:type="spellStart"/>
      <w:r w:rsidRPr="00143D58">
        <w:rPr>
          <w:bCs/>
          <w:sz w:val="30"/>
          <w:szCs w:val="30"/>
        </w:rPr>
        <w:t>а.г</w:t>
      </w:r>
      <w:proofErr w:type="spellEnd"/>
      <w:r w:rsidRPr="00143D58">
        <w:rPr>
          <w:bCs/>
          <w:sz w:val="30"/>
          <w:szCs w:val="30"/>
        </w:rPr>
        <w:t xml:space="preserve">. Вселюб, мечеть в д. </w:t>
      </w:r>
      <w:proofErr w:type="spellStart"/>
      <w:r w:rsidRPr="00143D58">
        <w:rPr>
          <w:bCs/>
          <w:sz w:val="30"/>
          <w:szCs w:val="30"/>
        </w:rPr>
        <w:t>Ловчицы</w:t>
      </w:r>
      <w:proofErr w:type="spellEnd"/>
      <w:r w:rsidRPr="00143D58">
        <w:rPr>
          <w:bCs/>
          <w:sz w:val="30"/>
          <w:szCs w:val="30"/>
        </w:rPr>
        <w:t xml:space="preserve">) и пр. Значительной привлекательностью обладают природные объекты: озера </w:t>
      </w:r>
      <w:proofErr w:type="spellStart"/>
      <w:r w:rsidRPr="00143D58">
        <w:rPr>
          <w:bCs/>
          <w:sz w:val="30"/>
          <w:szCs w:val="30"/>
        </w:rPr>
        <w:t>Свитязь</w:t>
      </w:r>
      <w:proofErr w:type="spellEnd"/>
      <w:r w:rsidRPr="00143D58">
        <w:rPr>
          <w:bCs/>
          <w:sz w:val="30"/>
          <w:szCs w:val="30"/>
        </w:rPr>
        <w:t xml:space="preserve"> и </w:t>
      </w:r>
      <w:proofErr w:type="spellStart"/>
      <w:r w:rsidRPr="00143D58">
        <w:rPr>
          <w:bCs/>
          <w:sz w:val="30"/>
          <w:szCs w:val="30"/>
        </w:rPr>
        <w:t>Черешля</w:t>
      </w:r>
      <w:proofErr w:type="spellEnd"/>
      <w:r w:rsidRPr="00143D58">
        <w:rPr>
          <w:bCs/>
          <w:sz w:val="30"/>
          <w:szCs w:val="30"/>
        </w:rPr>
        <w:t xml:space="preserve">, </w:t>
      </w:r>
      <w:proofErr w:type="spellStart"/>
      <w:r w:rsidRPr="00143D58">
        <w:rPr>
          <w:bCs/>
          <w:sz w:val="30"/>
          <w:szCs w:val="30"/>
        </w:rPr>
        <w:t>Налибокская</w:t>
      </w:r>
      <w:proofErr w:type="spellEnd"/>
      <w:r w:rsidRPr="00143D58">
        <w:rPr>
          <w:bCs/>
          <w:sz w:val="30"/>
          <w:szCs w:val="30"/>
        </w:rPr>
        <w:t xml:space="preserve"> пуща. </w:t>
      </w:r>
    </w:p>
    <w:p w14:paraId="33CA7A46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Традиционно одними из приоритетных видов туризма в районе являются культурно-познавательный. Значительный вклад в развитие данных направлений вносят учреждения культуры: Новогрудский историко-краеведческий музей, Дом-музей Адама Мицкевича, Новогрудский районный центр культуры и народного творчества, Новогрудская районная библиотека. Туристам доступны экскурсии на русском, английском, польском языках, </w:t>
      </w:r>
      <w:proofErr w:type="spellStart"/>
      <w:r w:rsidRPr="00143D58">
        <w:rPr>
          <w:bCs/>
          <w:sz w:val="30"/>
          <w:szCs w:val="30"/>
        </w:rPr>
        <w:t>анимационно</w:t>
      </w:r>
      <w:proofErr w:type="spellEnd"/>
      <w:r w:rsidRPr="00143D58">
        <w:rPr>
          <w:bCs/>
          <w:sz w:val="30"/>
          <w:szCs w:val="30"/>
        </w:rPr>
        <w:t>-развлекательные программы, квесты и мастер-классы.</w:t>
      </w:r>
    </w:p>
    <w:p w14:paraId="79C1951C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spellStart"/>
      <w:r w:rsidRPr="00143D58">
        <w:rPr>
          <w:bCs/>
          <w:sz w:val="30"/>
          <w:szCs w:val="30"/>
        </w:rPr>
        <w:lastRenderedPageBreak/>
        <w:t>Новогрудчина</w:t>
      </w:r>
      <w:proofErr w:type="spellEnd"/>
      <w:r w:rsidRPr="00143D58">
        <w:rPr>
          <w:bCs/>
          <w:sz w:val="30"/>
          <w:szCs w:val="30"/>
        </w:rPr>
        <w:t xml:space="preserve"> обладает значительным потенциалом для развития религиозного туризма. На территории района находятся места паломничества для представителей различных религий (православных, католиков, мусульман). Наиболее посещаемыми на территории района являются Свято-Елисеевский </w:t>
      </w:r>
      <w:proofErr w:type="spellStart"/>
      <w:r w:rsidRPr="00143D58">
        <w:rPr>
          <w:bCs/>
          <w:sz w:val="30"/>
          <w:szCs w:val="30"/>
        </w:rPr>
        <w:t>Лавришевский</w:t>
      </w:r>
      <w:proofErr w:type="spellEnd"/>
      <w:r w:rsidRPr="00143D58">
        <w:rPr>
          <w:bCs/>
          <w:sz w:val="30"/>
          <w:szCs w:val="30"/>
        </w:rPr>
        <w:t xml:space="preserve"> монастырь, костёл Святого Казимира в </w:t>
      </w:r>
      <w:proofErr w:type="spellStart"/>
      <w:r w:rsidRPr="00143D58">
        <w:rPr>
          <w:bCs/>
          <w:sz w:val="30"/>
          <w:szCs w:val="30"/>
        </w:rPr>
        <w:t>аг</w:t>
      </w:r>
      <w:proofErr w:type="spellEnd"/>
      <w:r w:rsidRPr="00143D58">
        <w:rPr>
          <w:bCs/>
          <w:sz w:val="30"/>
          <w:szCs w:val="30"/>
        </w:rPr>
        <w:t xml:space="preserve">. Вселюб, где туристам и паломникам предлагают экскурсионное обслуживание, питание и ночлеги. </w:t>
      </w:r>
    </w:p>
    <w:p w14:paraId="12825088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Значительного развития на территории Новогрудского района достиг активный туризм. В городе и районе функционирует 4 </w:t>
      </w:r>
      <w:proofErr w:type="spellStart"/>
      <w:r w:rsidRPr="00143D58">
        <w:rPr>
          <w:bCs/>
          <w:sz w:val="30"/>
          <w:szCs w:val="30"/>
        </w:rPr>
        <w:t>велотуристических</w:t>
      </w:r>
      <w:proofErr w:type="spellEnd"/>
      <w:r w:rsidRPr="00143D58">
        <w:rPr>
          <w:bCs/>
          <w:sz w:val="30"/>
          <w:szCs w:val="30"/>
        </w:rPr>
        <w:t xml:space="preserve"> маршрута, которые объединяют главные достопримечательности города и района и рассчитаны на различный уровень физической подготовки туристов. Также по территории района проходит участок международного туристического маршрута «</w:t>
      </w:r>
      <w:proofErr w:type="spellStart"/>
      <w:r w:rsidRPr="00143D58">
        <w:rPr>
          <w:bCs/>
          <w:sz w:val="30"/>
          <w:szCs w:val="30"/>
        </w:rPr>
        <w:t>Евровело</w:t>
      </w:r>
      <w:proofErr w:type="spellEnd"/>
      <w:r w:rsidRPr="00143D58">
        <w:rPr>
          <w:bCs/>
          <w:sz w:val="30"/>
          <w:szCs w:val="30"/>
        </w:rPr>
        <w:t xml:space="preserve"> 2». На всех маршрутах установлены знаки маркировки, информационные стенды, </w:t>
      </w:r>
      <w:proofErr w:type="spellStart"/>
      <w:r w:rsidRPr="00143D58">
        <w:rPr>
          <w:bCs/>
          <w:sz w:val="30"/>
          <w:szCs w:val="30"/>
        </w:rPr>
        <w:t>велопарковки</w:t>
      </w:r>
      <w:proofErr w:type="spellEnd"/>
      <w:r w:rsidRPr="00143D58">
        <w:rPr>
          <w:bCs/>
          <w:sz w:val="30"/>
          <w:szCs w:val="30"/>
        </w:rPr>
        <w:t>.</w:t>
      </w:r>
    </w:p>
    <w:p w14:paraId="2C58208A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Значительной популярность как у жителей, так и гостей района пользуется </w:t>
      </w:r>
      <w:proofErr w:type="spellStart"/>
      <w:r w:rsidRPr="00143D58">
        <w:rPr>
          <w:bCs/>
          <w:sz w:val="30"/>
          <w:szCs w:val="30"/>
        </w:rPr>
        <w:t>агроэкотуризм</w:t>
      </w:r>
      <w:proofErr w:type="spellEnd"/>
      <w:r w:rsidRPr="00143D58">
        <w:rPr>
          <w:bCs/>
          <w:sz w:val="30"/>
          <w:szCs w:val="30"/>
        </w:rPr>
        <w:t xml:space="preserve">. В настоящий момент в Новогрудском районе функционирует 23 </w:t>
      </w:r>
      <w:proofErr w:type="spellStart"/>
      <w:r w:rsidRPr="00143D58">
        <w:rPr>
          <w:bCs/>
          <w:sz w:val="30"/>
          <w:szCs w:val="30"/>
        </w:rPr>
        <w:t>агроэкоусадьбы</w:t>
      </w:r>
      <w:proofErr w:type="spellEnd"/>
      <w:r w:rsidRPr="00143D58">
        <w:rPr>
          <w:bCs/>
          <w:sz w:val="30"/>
          <w:szCs w:val="30"/>
        </w:rPr>
        <w:t>, расположенные в самых живописных природных уголках нашего края.</w:t>
      </w:r>
    </w:p>
    <w:p w14:paraId="4BE50B46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>Значительный вклад в развитие экологического туризма вносит ГПУ «Ландшафтный природоохранный заказник «</w:t>
      </w:r>
      <w:proofErr w:type="spellStart"/>
      <w:r w:rsidRPr="00143D58">
        <w:rPr>
          <w:bCs/>
          <w:sz w:val="30"/>
          <w:szCs w:val="30"/>
        </w:rPr>
        <w:t>Свитязянский</w:t>
      </w:r>
      <w:proofErr w:type="spellEnd"/>
      <w:r w:rsidRPr="00143D58">
        <w:rPr>
          <w:bCs/>
          <w:sz w:val="30"/>
          <w:szCs w:val="30"/>
        </w:rPr>
        <w:t xml:space="preserve">». Здесь функционирует эколого-информационный центр «Приключения у озера», где проводятся экскурсии экологической тематики, разработан цикл анимационных программ «В гостях у 12 месяцев». Туристам также предлагают прогулки по </w:t>
      </w:r>
      <w:proofErr w:type="spellStart"/>
      <w:r w:rsidRPr="00143D58">
        <w:rPr>
          <w:bCs/>
          <w:sz w:val="30"/>
          <w:szCs w:val="30"/>
        </w:rPr>
        <w:t>экотропе</w:t>
      </w:r>
      <w:proofErr w:type="spellEnd"/>
      <w:r w:rsidRPr="00143D58">
        <w:rPr>
          <w:bCs/>
          <w:sz w:val="30"/>
          <w:szCs w:val="30"/>
        </w:rPr>
        <w:t xml:space="preserve"> и знакомство с флорой и фауной заказника. Также вблизи озера </w:t>
      </w:r>
      <w:proofErr w:type="spellStart"/>
      <w:r w:rsidRPr="00143D58">
        <w:rPr>
          <w:bCs/>
          <w:sz w:val="30"/>
          <w:szCs w:val="30"/>
        </w:rPr>
        <w:t>Свитязь</w:t>
      </w:r>
      <w:proofErr w:type="spellEnd"/>
      <w:r w:rsidRPr="00143D58">
        <w:rPr>
          <w:bCs/>
          <w:sz w:val="30"/>
          <w:szCs w:val="30"/>
        </w:rPr>
        <w:t xml:space="preserve"> оборудованы 3 палаточных лагеря, организован прокат палаток и иного необходимого отдыхающим оборудования.</w:t>
      </w:r>
    </w:p>
    <w:p w14:paraId="2CEE5EAA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Ежегодно растет число туристов, проявляющих интерес к охотничьему туризму. Услуги по организации индивидуальных и коллективных охотничьих туров, а также фотоохоты на территории Новогрудского района оказывает ГЛХУ «Новогрудский лесхоз». В распоряжении хозяйства имеется дом охотника в </w:t>
      </w:r>
      <w:proofErr w:type="spellStart"/>
      <w:r w:rsidRPr="00143D58">
        <w:rPr>
          <w:bCs/>
          <w:sz w:val="30"/>
          <w:szCs w:val="30"/>
        </w:rPr>
        <w:t>г.п</w:t>
      </w:r>
      <w:proofErr w:type="spellEnd"/>
      <w:r w:rsidRPr="00143D58">
        <w:rPr>
          <w:bCs/>
          <w:sz w:val="30"/>
          <w:szCs w:val="30"/>
        </w:rPr>
        <w:t xml:space="preserve">. </w:t>
      </w:r>
      <w:proofErr w:type="spellStart"/>
      <w:r w:rsidRPr="00143D58">
        <w:rPr>
          <w:bCs/>
          <w:sz w:val="30"/>
          <w:szCs w:val="30"/>
        </w:rPr>
        <w:t>Любча</w:t>
      </w:r>
      <w:proofErr w:type="spellEnd"/>
      <w:r w:rsidRPr="00143D58">
        <w:rPr>
          <w:bCs/>
          <w:sz w:val="30"/>
          <w:szCs w:val="30"/>
        </w:rPr>
        <w:t xml:space="preserve"> и туристско-охотничий комплекс в д. </w:t>
      </w:r>
      <w:proofErr w:type="spellStart"/>
      <w:r w:rsidRPr="00143D58">
        <w:rPr>
          <w:bCs/>
          <w:sz w:val="30"/>
          <w:szCs w:val="30"/>
        </w:rPr>
        <w:t>Новосады</w:t>
      </w:r>
      <w:proofErr w:type="spellEnd"/>
      <w:r w:rsidRPr="00143D58">
        <w:rPr>
          <w:bCs/>
          <w:sz w:val="30"/>
          <w:szCs w:val="30"/>
        </w:rPr>
        <w:t xml:space="preserve">. </w:t>
      </w:r>
    </w:p>
    <w:p w14:paraId="4FB25841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>В последние годы значительное внимание уделялось развитию инфраструктуры туризма:</w:t>
      </w:r>
    </w:p>
    <w:p w14:paraId="07F08DCF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>- у основных достопримечательностей и иных туристических мест установлено более 60 информационных табличек и щитов;</w:t>
      </w:r>
    </w:p>
    <w:p w14:paraId="327CE9A9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>- в городе установлены двуязычные знаки пешеходной навигации, стилизованные фонари с указанием направлений движения к основным туристическим объектам, стенды с картами города и района;</w:t>
      </w:r>
    </w:p>
    <w:p w14:paraId="7D1CB95B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lastRenderedPageBreak/>
        <w:t>- на дорогах города и района установлено более 40 туристических дорожных знаков на коричневом фоне;</w:t>
      </w:r>
    </w:p>
    <w:p w14:paraId="51FFC467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- на зданиях центральных улиц города размещены таблички с историческими названиями улиц города на двух языках (белорусский и английский); </w:t>
      </w:r>
    </w:p>
    <w:p w14:paraId="5C1E966E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>- в городе функционирует туристско-информационный центр, где туристы могут получить бесплатные консультации по поводу планирования своего путешествия на территории Новогрудского района;</w:t>
      </w:r>
    </w:p>
    <w:p w14:paraId="1C7DF333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Для продвижения туристических услуг Новогрудского района в сети Интернет создан сайт «Туризм и отдых на </w:t>
      </w:r>
      <w:proofErr w:type="spellStart"/>
      <w:r w:rsidRPr="00143D58">
        <w:rPr>
          <w:bCs/>
          <w:sz w:val="30"/>
          <w:szCs w:val="30"/>
        </w:rPr>
        <w:t>Новогрудчине</w:t>
      </w:r>
      <w:proofErr w:type="spellEnd"/>
      <w:r w:rsidRPr="00143D58">
        <w:rPr>
          <w:bCs/>
          <w:sz w:val="30"/>
          <w:szCs w:val="30"/>
        </w:rPr>
        <w:t>», который представляет собой полный каталог туристических ресурсов района на 4 языках, а также страницы туристско-информационного центра в социальных сетях (@visitNavahrudak), которые по итогам Национальной премии «Познай Беларусь 2020» были признаны лучшим блогом о туризме.</w:t>
      </w:r>
    </w:p>
    <w:p w14:paraId="26E79AF5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В рамках реализации государственной программы «Беларусь гостеприимная» ежегодно выделяются денежные средства на реализацию таких мероприятий как издание печатных рекламно-информационных материалов, участие в международных выставках и презентациях туристического потенциала, проведение информационных туров для представителей туристических компаний и СМИ. Так за последние 3 года было издано 10 наименований многоязычных печатных рекламно-информационных материалов. В период с 2019 по 2021 годы проведено 10 рекламно-информационных туров для представителей туристических операторов и СМИ Республики Беларусь и стран ближнего зарубежья. </w:t>
      </w:r>
      <w:proofErr w:type="spellStart"/>
      <w:r w:rsidRPr="00143D58">
        <w:rPr>
          <w:bCs/>
          <w:sz w:val="30"/>
          <w:szCs w:val="30"/>
        </w:rPr>
        <w:t>Новогрудчина</w:t>
      </w:r>
      <w:proofErr w:type="spellEnd"/>
      <w:r w:rsidRPr="00143D58">
        <w:rPr>
          <w:bCs/>
          <w:sz w:val="30"/>
          <w:szCs w:val="30"/>
        </w:rPr>
        <w:t xml:space="preserve"> была представлена на 15 международных туристических выставках в Республике Беларусь, Польше, Литве и США.</w:t>
      </w:r>
    </w:p>
    <w:p w14:paraId="1E308205" w14:textId="77777777" w:rsidR="00143D58" w:rsidRPr="00143D58" w:rsidRDefault="00143D58" w:rsidP="00143D5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3D58">
        <w:rPr>
          <w:bCs/>
          <w:sz w:val="30"/>
          <w:szCs w:val="30"/>
        </w:rPr>
        <w:t xml:space="preserve">В настоящий момент принимаются активные меры для развития внутреннего туризма и постепенного восстановления туристической отрасли. Так, в 2021 году город и район посетили 43,9 тыс. туристов и экскурсантов, что практически в 2 раза превысило количество туристов 2020 года. В 2,5 раза за последний год выросло в районе количество </w:t>
      </w:r>
      <w:proofErr w:type="spellStart"/>
      <w:r w:rsidRPr="00143D58">
        <w:rPr>
          <w:bCs/>
          <w:sz w:val="30"/>
          <w:szCs w:val="30"/>
        </w:rPr>
        <w:t>агроэкотуристов</w:t>
      </w:r>
      <w:proofErr w:type="spellEnd"/>
      <w:r w:rsidRPr="00143D58">
        <w:rPr>
          <w:bCs/>
          <w:sz w:val="30"/>
          <w:szCs w:val="30"/>
        </w:rPr>
        <w:t xml:space="preserve">. Положительная динамика наблюдается также по итогам 4-х месяцев 2022 года. Для привлечения туристов разрабатываются новые и совершенствуются действующие туристические программы и услуги. Наибольшей популярностью у туристов в нынешнем сезоне пользуются </w:t>
      </w:r>
      <w:proofErr w:type="spellStart"/>
      <w:r w:rsidRPr="00143D58">
        <w:rPr>
          <w:bCs/>
          <w:sz w:val="30"/>
          <w:szCs w:val="30"/>
        </w:rPr>
        <w:t>анимационно</w:t>
      </w:r>
      <w:proofErr w:type="spellEnd"/>
      <w:r w:rsidRPr="00143D58">
        <w:rPr>
          <w:bCs/>
          <w:sz w:val="30"/>
          <w:szCs w:val="30"/>
        </w:rPr>
        <w:t xml:space="preserve">-развлекательные программы на территории </w:t>
      </w:r>
      <w:proofErr w:type="spellStart"/>
      <w:r w:rsidRPr="00143D58">
        <w:rPr>
          <w:bCs/>
          <w:sz w:val="30"/>
          <w:szCs w:val="30"/>
        </w:rPr>
        <w:t>Любчанского</w:t>
      </w:r>
      <w:proofErr w:type="spellEnd"/>
      <w:r w:rsidRPr="00143D58">
        <w:rPr>
          <w:bCs/>
          <w:sz w:val="30"/>
          <w:szCs w:val="30"/>
        </w:rPr>
        <w:t xml:space="preserve"> замка «В гостях у </w:t>
      </w:r>
      <w:proofErr w:type="spellStart"/>
      <w:r w:rsidRPr="00143D58">
        <w:rPr>
          <w:bCs/>
          <w:sz w:val="30"/>
          <w:szCs w:val="30"/>
        </w:rPr>
        <w:t>Любчанской</w:t>
      </w:r>
      <w:proofErr w:type="spellEnd"/>
      <w:r w:rsidRPr="00143D58">
        <w:rPr>
          <w:bCs/>
          <w:sz w:val="30"/>
          <w:szCs w:val="30"/>
        </w:rPr>
        <w:t xml:space="preserve"> ключницы», экскурсионная программа районной библиотеки «Ретро-путешествие с новогрудской горожанкой» и услуги созданного на базе учреждения ретро-фотоателье. </w:t>
      </w:r>
    </w:p>
    <w:p w14:paraId="68725F2F" w14:textId="77777777" w:rsidR="00143D58" w:rsidRDefault="00143D58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D3EE" w14:textId="77777777" w:rsidR="00990A7F" w:rsidRDefault="00990A7F" w:rsidP="003F3942">
      <w:pPr>
        <w:spacing w:after="0" w:line="240" w:lineRule="auto"/>
      </w:pPr>
      <w:r>
        <w:separator/>
      </w:r>
    </w:p>
  </w:endnote>
  <w:endnote w:type="continuationSeparator" w:id="0">
    <w:p w14:paraId="28A2868B" w14:textId="77777777" w:rsidR="00990A7F" w:rsidRDefault="00990A7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458A" w14:textId="77777777" w:rsidR="00990A7F" w:rsidRDefault="00990A7F" w:rsidP="003F3942">
      <w:pPr>
        <w:spacing w:after="0" w:line="240" w:lineRule="auto"/>
      </w:pPr>
      <w:r>
        <w:separator/>
      </w:r>
    </w:p>
  </w:footnote>
  <w:footnote w:type="continuationSeparator" w:id="0">
    <w:p w14:paraId="45E84DB7" w14:textId="77777777" w:rsidR="00990A7F" w:rsidRDefault="00990A7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2EFA237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B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75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43D58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0029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90A7F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B78A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Ideol2</cp:lastModifiedBy>
  <cp:revision>2</cp:revision>
  <cp:lastPrinted>2022-05-12T14:26:00Z</cp:lastPrinted>
  <dcterms:created xsi:type="dcterms:W3CDTF">2022-06-24T13:36:00Z</dcterms:created>
  <dcterms:modified xsi:type="dcterms:W3CDTF">2022-06-24T13:36:00Z</dcterms:modified>
</cp:coreProperties>
</file>