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CE44" w14:textId="77777777" w:rsidR="00D10D37" w:rsidRPr="00D10D37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center"/>
        <w:outlineLvl w:val="1"/>
        <w:rPr>
          <w:b/>
          <w:bCs/>
          <w:sz w:val="30"/>
          <w:szCs w:val="30"/>
          <w:lang w:val="ru-RU"/>
        </w:rPr>
      </w:pPr>
      <w:bookmarkStart w:id="0" w:name="_Hlk144189707"/>
      <w:r w:rsidRPr="00D10D37">
        <w:rPr>
          <w:b/>
          <w:bCs/>
          <w:sz w:val="30"/>
          <w:szCs w:val="30"/>
          <w:lang w:val="ru-RU"/>
        </w:rPr>
        <w:t>«Открытие охоты на бобра и выдру»</w:t>
      </w:r>
    </w:p>
    <w:bookmarkEnd w:id="0"/>
    <w:p w14:paraId="7B94B23C" w14:textId="77777777" w:rsidR="00D10D37" w:rsidRPr="00F125F0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center"/>
        <w:outlineLvl w:val="1"/>
        <w:rPr>
          <w:b/>
          <w:bCs/>
          <w:color w:val="282828"/>
          <w:sz w:val="30"/>
          <w:szCs w:val="30"/>
          <w:lang w:val="ru-RU"/>
        </w:rPr>
      </w:pPr>
    </w:p>
    <w:p w14:paraId="12869618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В соответствии с Правилами охоты с 1 сентября в республике открывается охота на бобра и выдру, которая продлится до 31 марта 2023 года.</w:t>
      </w:r>
    </w:p>
    <w:p w14:paraId="5038D894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 xml:space="preserve">Напоминаем, что охота на бобра и выдру разрешается как ружейным (из засады, с подхода, с подъезда с маломерных судов, на норах), так и </w:t>
      </w:r>
      <w:proofErr w:type="spellStart"/>
      <w:r w:rsidRPr="002F4218">
        <w:rPr>
          <w:color w:val="000000"/>
          <w:sz w:val="30"/>
          <w:szCs w:val="30"/>
          <w:lang w:val="ru-RU"/>
        </w:rPr>
        <w:t>безружейным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(на норах, с использованием капканов или ловушек (кроме петель)) способами.</w:t>
      </w:r>
    </w:p>
    <w:p w14:paraId="2FD99902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Охота проводится по разрешениям на добычу бобра или выдры и охотничьим путевкам к ним. При этом, пользователями охотничьих угодий реализуются как разовые (сроком действия не более 24 часов), так и сезонные охотничьи путевки к разрешениям.</w:t>
      </w:r>
    </w:p>
    <w:p w14:paraId="49CFA324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Охота на бобра и выдру разрешается как в светлое, так и в темное время суток. Вместе с тем, обращаем особое внимание охотников, что ружейная охота на бобра и выдру в темное время суток разрешается способами из засады, с подхода и только по разовым охотничьим путевкам к разрешению (сроком действия не более 24 часов), а также с обязательным назначением и в присутствии руководителя охоты.</w:t>
      </w:r>
    </w:p>
    <w:p w14:paraId="3DB26582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 xml:space="preserve">При </w:t>
      </w:r>
      <w:proofErr w:type="spellStart"/>
      <w:r w:rsidRPr="002F4218">
        <w:rPr>
          <w:color w:val="000000"/>
          <w:sz w:val="30"/>
          <w:szCs w:val="30"/>
          <w:lang w:val="ru-RU"/>
        </w:rPr>
        <w:t>безружейной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охоте с капканами или ловушками их установка (снятие), проверка, </w:t>
      </w:r>
      <w:proofErr w:type="spellStart"/>
      <w:r w:rsidRPr="002F4218">
        <w:rPr>
          <w:color w:val="000000"/>
          <w:sz w:val="30"/>
          <w:szCs w:val="30"/>
          <w:lang w:val="ru-RU"/>
        </w:rPr>
        <w:t>настораживание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и извлечение добытых животных допускаются только в светлое время суток.</w:t>
      </w:r>
    </w:p>
    <w:p w14:paraId="7FED065D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 xml:space="preserve">Ружейная или </w:t>
      </w:r>
      <w:proofErr w:type="spellStart"/>
      <w:r w:rsidRPr="002F4218">
        <w:rPr>
          <w:color w:val="000000"/>
          <w:sz w:val="30"/>
          <w:szCs w:val="30"/>
          <w:lang w:val="ru-RU"/>
        </w:rPr>
        <w:t>безружейная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охота на норах, а также ружейная охота с подъезда с маломерных судов допускается только в светлое время суток.</w:t>
      </w:r>
    </w:p>
    <w:p w14:paraId="431A0B55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В качестве орудий охоты разрешается использовать нарезное охотничье оружие с дульной энергией пули свыше 1500 джоулей, гладкоствольное оружие с применением патронов, снаряженных пулей или картечью, охотничьи луки и арбалеты, при охоте с подъезда - маломерные суда без двигателя или с неработающим двигателем, охотничьих собак (кроме гончих и борзых), капканы, ловушки (кроме петель).</w:t>
      </w:r>
    </w:p>
    <w:p w14:paraId="593184EF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 xml:space="preserve">В ходе осуществления </w:t>
      </w:r>
      <w:proofErr w:type="spellStart"/>
      <w:r w:rsidRPr="002F4218">
        <w:rPr>
          <w:color w:val="000000"/>
          <w:sz w:val="30"/>
          <w:szCs w:val="30"/>
          <w:lang w:val="ru-RU"/>
        </w:rPr>
        <w:t>безружейной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охоты на бобра и (или) выдру допускается добыча норки американской и ондатры, случайно попавших в установленные на бобра и (или) выдру капканы или другие ловушки. При этом, охотником на оборотной стороне охотничьей путевки к разрешению указываются вид животного (норка американская или ондатра) и дата добычи по каждому случайно добытому животному до его извлечения из капкана или ловушки.</w:t>
      </w:r>
    </w:p>
    <w:p w14:paraId="5BC5A27C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 xml:space="preserve">При обнаружении охотником в установленном им на бобра или выдру капкане (ловушке) другого охотничьего животного нормируемых видов или дикого животного, относящегося к виду, включенному в Красную книгу Республики Беларусь, охотник, не изымая животное из </w:t>
      </w:r>
      <w:r w:rsidRPr="002F4218">
        <w:rPr>
          <w:color w:val="000000"/>
          <w:sz w:val="30"/>
          <w:szCs w:val="30"/>
          <w:lang w:val="ru-RU"/>
        </w:rPr>
        <w:lastRenderedPageBreak/>
        <w:t>капкана или другой ловушки, должен проинформировать об этом должностное лицо пользователя охотничьих угодий.</w:t>
      </w:r>
    </w:p>
    <w:p w14:paraId="47F74AD5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В случае попадания в капкан или другую ловушку выдры в процессе добычи охотником бобра (или наоборот) разрешение закрывается по фактически добытому животному.</w:t>
      </w:r>
    </w:p>
    <w:p w14:paraId="74FEBAC5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В ходе осуществления охоты на бобра и выдру охотникам разрешается вскрывать бобровые норы и плотины.</w:t>
      </w:r>
    </w:p>
    <w:p w14:paraId="6B501F42" w14:textId="77777777" w:rsidR="00D10D37" w:rsidRPr="002F4218" w:rsidRDefault="00D10D37" w:rsidP="00D10D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30"/>
          <w:szCs w:val="30"/>
          <w:lang w:val="ru-RU"/>
        </w:rPr>
      </w:pPr>
      <w:r w:rsidRPr="002F4218">
        <w:rPr>
          <w:color w:val="000000"/>
          <w:sz w:val="30"/>
          <w:szCs w:val="30"/>
          <w:lang w:val="ru-RU"/>
        </w:rPr>
        <w:t>Незаконная охота на бобра или выдру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Республики Беларусь) ответственность, а также обязанность возмещения нарушителем вреда, причиненного окружающей среде в результате незаконного изъятия животного. В соответствии с законодательством, размер указанного выше вреда в случае незаконной добычи бобра составляет 70 базовых</w:t>
      </w:r>
      <w:r>
        <w:rPr>
          <w:color w:val="000000"/>
          <w:sz w:val="30"/>
          <w:szCs w:val="30"/>
          <w:lang w:val="ru-RU"/>
        </w:rPr>
        <w:t xml:space="preserve"> величин (2590</w:t>
      </w:r>
      <w:r w:rsidRPr="002F4218">
        <w:rPr>
          <w:color w:val="000000"/>
          <w:sz w:val="30"/>
          <w:szCs w:val="30"/>
          <w:lang w:val="ru-RU"/>
        </w:rPr>
        <w:t xml:space="preserve"> руб.). Поскольку выдра речная является образцом СИТЕС (Конвенция о международной торговле видами дикой фауны и флоры, находящимися под угрозой исчезновения, подписанной в </w:t>
      </w:r>
      <w:proofErr w:type="spellStart"/>
      <w:r w:rsidRPr="002F4218">
        <w:rPr>
          <w:color w:val="000000"/>
          <w:sz w:val="30"/>
          <w:szCs w:val="30"/>
          <w:lang w:val="ru-RU"/>
        </w:rPr>
        <w:t>г.Вашингтон</w:t>
      </w:r>
      <w:proofErr w:type="spellEnd"/>
      <w:r w:rsidRPr="002F4218">
        <w:rPr>
          <w:color w:val="000000"/>
          <w:sz w:val="30"/>
          <w:szCs w:val="30"/>
          <w:lang w:val="ru-RU"/>
        </w:rPr>
        <w:t xml:space="preserve"> 3 марта 1973 года) размер вреда в случае незаконной ее добычи составл</w:t>
      </w:r>
      <w:r>
        <w:rPr>
          <w:color w:val="000000"/>
          <w:sz w:val="30"/>
          <w:szCs w:val="30"/>
          <w:lang w:val="ru-RU"/>
        </w:rPr>
        <w:t>яет 200 базовых величин или 7400</w:t>
      </w:r>
      <w:r w:rsidRPr="002F4218">
        <w:rPr>
          <w:color w:val="000000"/>
          <w:sz w:val="30"/>
          <w:szCs w:val="30"/>
          <w:lang w:val="ru-RU"/>
        </w:rPr>
        <w:t xml:space="preserve"> руб.</w:t>
      </w:r>
    </w:p>
    <w:p w14:paraId="7BCC2561" w14:textId="77777777" w:rsidR="00D10D37" w:rsidRDefault="00D10D37" w:rsidP="00D10D3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>8 (01597) 4-5</w:t>
      </w:r>
      <w:r>
        <w:rPr>
          <w:sz w:val="30"/>
          <w:szCs w:val="30"/>
        </w:rPr>
        <w:t>3-83,8 (0152) 33-70-0</w:t>
      </w:r>
      <w:r w:rsidRPr="005E2469">
        <w:rPr>
          <w:sz w:val="30"/>
          <w:szCs w:val="30"/>
        </w:rPr>
        <w:t>0</w:t>
      </w:r>
      <w:r>
        <w:rPr>
          <w:sz w:val="30"/>
          <w:szCs w:val="30"/>
          <w:lang w:val="ru-RU"/>
        </w:rPr>
        <w:t>, 8(033) 333-60-00</w:t>
      </w:r>
      <w:r w:rsidRPr="005E2469">
        <w:rPr>
          <w:sz w:val="30"/>
          <w:szCs w:val="30"/>
        </w:rPr>
        <w:t>».</w:t>
      </w:r>
    </w:p>
    <w:p w14:paraId="61C2E48F" w14:textId="77777777" w:rsidR="00D10D37" w:rsidRDefault="00D10D37" w:rsidP="00D10D37">
      <w:pPr>
        <w:ind w:firstLine="720"/>
        <w:jc w:val="both"/>
        <w:rPr>
          <w:sz w:val="30"/>
          <w:szCs w:val="30"/>
        </w:rPr>
      </w:pPr>
    </w:p>
    <w:sectPr w:rsidR="00D10D37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2293" w14:textId="77777777" w:rsidR="00A61721" w:rsidRDefault="00A61721">
      <w:r>
        <w:separator/>
      </w:r>
    </w:p>
  </w:endnote>
  <w:endnote w:type="continuationSeparator" w:id="0">
    <w:p w14:paraId="7B1D852B" w14:textId="77777777" w:rsidR="00A61721" w:rsidRDefault="00A6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98B2" w14:textId="77777777" w:rsidR="00A61721" w:rsidRDefault="00A61721">
      <w:r>
        <w:separator/>
      </w:r>
    </w:p>
  </w:footnote>
  <w:footnote w:type="continuationSeparator" w:id="0">
    <w:p w14:paraId="5CB0B692" w14:textId="77777777" w:rsidR="00A61721" w:rsidRDefault="00A6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8636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37A021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D9C1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1150">
      <w:rPr>
        <w:rStyle w:val="a8"/>
        <w:noProof/>
      </w:rPr>
      <w:t>3</w:t>
    </w:r>
    <w:r>
      <w:rPr>
        <w:rStyle w:val="a8"/>
      </w:rPr>
      <w:fldChar w:fldCharType="end"/>
    </w:r>
  </w:p>
  <w:p w14:paraId="53F492B6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03119">
    <w:abstractNumId w:val="2"/>
  </w:num>
  <w:num w:numId="2" w16cid:durableId="684940131">
    <w:abstractNumId w:val="3"/>
  </w:num>
  <w:num w:numId="3" w16cid:durableId="1869105907">
    <w:abstractNumId w:val="4"/>
  </w:num>
  <w:num w:numId="4" w16cid:durableId="898049840">
    <w:abstractNumId w:val="7"/>
  </w:num>
  <w:num w:numId="5" w16cid:durableId="436756777">
    <w:abstractNumId w:val="0"/>
  </w:num>
  <w:num w:numId="6" w16cid:durableId="1063525065">
    <w:abstractNumId w:val="6"/>
  </w:num>
  <w:num w:numId="7" w16cid:durableId="986087013">
    <w:abstractNumId w:val="5"/>
  </w:num>
  <w:num w:numId="8" w16cid:durableId="1069382704">
    <w:abstractNumId w:val="9"/>
  </w:num>
  <w:num w:numId="9" w16cid:durableId="845437936">
    <w:abstractNumId w:val="1"/>
  </w:num>
  <w:num w:numId="10" w16cid:durableId="1952856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09BB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1150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2B04"/>
    <w:rsid w:val="0076399D"/>
    <w:rsid w:val="00766815"/>
    <w:rsid w:val="007754B5"/>
    <w:rsid w:val="007821BE"/>
    <w:rsid w:val="00787E0B"/>
    <w:rsid w:val="00790629"/>
    <w:rsid w:val="00794D4E"/>
    <w:rsid w:val="007978E0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2E9B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1721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A7DCB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0D37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2714F"/>
  <w15:docId w15:val="{FE750896-350D-4BD3-8C53-6DDF3834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9A03-9008-41E4-8223-533DB3B4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3</cp:revision>
  <cp:lastPrinted>2022-12-21T07:24:00Z</cp:lastPrinted>
  <dcterms:created xsi:type="dcterms:W3CDTF">2023-08-29T05:20:00Z</dcterms:created>
  <dcterms:modified xsi:type="dcterms:W3CDTF">2023-08-29T05:50:00Z</dcterms:modified>
</cp:coreProperties>
</file>